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F" w:rsidRPr="00B90B9B" w:rsidRDefault="00615A9A" w:rsidP="00B34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</w:t>
      </w:r>
      <w:r w:rsidR="00FA3A63" w:rsidRPr="00C3386A">
        <w:rPr>
          <w:b/>
          <w:sz w:val="32"/>
          <w:szCs w:val="32"/>
        </w:rPr>
        <w:t xml:space="preserve"> </w:t>
      </w:r>
      <w:r w:rsidR="00792315" w:rsidRPr="00C3386A">
        <w:rPr>
          <w:b/>
          <w:strike/>
          <w:sz w:val="32"/>
          <w:szCs w:val="32"/>
        </w:rPr>
        <w:t>4</w:t>
      </w:r>
      <w:r w:rsidR="00B90B9B" w:rsidRPr="00B90B9B">
        <w:rPr>
          <w:b/>
          <w:sz w:val="32"/>
          <w:szCs w:val="32"/>
        </w:rPr>
        <w:t>/2019</w:t>
      </w:r>
    </w:p>
    <w:p w:rsidR="00B3498F" w:rsidRPr="00B3498F" w:rsidRDefault="004A0BA3" w:rsidP="00663F12">
      <w:pPr>
        <w:jc w:val="center"/>
        <w:rPr>
          <w:b/>
          <w:sz w:val="24"/>
          <w:szCs w:val="24"/>
        </w:rPr>
      </w:pPr>
      <w:r w:rsidRPr="00663F12">
        <w:rPr>
          <w:rFonts w:cstheme="minorHAnsi"/>
          <w:sz w:val="24"/>
          <w:szCs w:val="24"/>
        </w:rPr>
        <w:t xml:space="preserve">Stowarzyszenie </w:t>
      </w:r>
      <w:r w:rsidR="00B3498F" w:rsidRPr="00663F12">
        <w:rPr>
          <w:rFonts w:cstheme="minorHAnsi"/>
          <w:sz w:val="24"/>
          <w:szCs w:val="24"/>
        </w:rPr>
        <w:t>Lokalna Grupa Działania „Sierpeckie Partnerstwo” informuje o możliwości składania wniosków o przyznanie pomocy w ramach poddziałania 19.2 „Wsparcie na wdrażanie operacji w ramach strategii rozwoju lokalnego kierowanego przez społeczność”</w:t>
      </w:r>
      <w:r w:rsidR="00663F12" w:rsidRPr="00663F12">
        <w:rPr>
          <w:rFonts w:cstheme="minorHAnsi"/>
          <w:sz w:val="24"/>
          <w:szCs w:val="24"/>
        </w:rPr>
        <w:t xml:space="preserve"> </w:t>
      </w:r>
      <w:r w:rsidR="00B3498F" w:rsidRPr="00663F12">
        <w:rPr>
          <w:rFonts w:cstheme="minorHAnsi"/>
          <w:sz w:val="24"/>
          <w:szCs w:val="24"/>
        </w:rPr>
        <w:t>objętego Programem Rozwoju Obszaró</w:t>
      </w:r>
      <w:r w:rsidR="00663F12">
        <w:rPr>
          <w:rFonts w:cstheme="minorHAnsi"/>
          <w:sz w:val="24"/>
          <w:szCs w:val="24"/>
        </w:rPr>
        <w:t>w Wiejskich na lata 2014 – 2020.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3498F" w:rsidRPr="00B3498F" w:rsidTr="007A0568">
        <w:tc>
          <w:tcPr>
            <w:tcW w:w="3544" w:type="dxa"/>
          </w:tcPr>
          <w:p w:rsidR="00B3498F" w:rsidRPr="00B3498F" w:rsidRDefault="00B573C3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Termin trwania naboru</w:t>
            </w:r>
          </w:p>
        </w:tc>
        <w:tc>
          <w:tcPr>
            <w:tcW w:w="6662" w:type="dxa"/>
            <w:vAlign w:val="center"/>
          </w:tcPr>
          <w:p w:rsidR="00B3498F" w:rsidRPr="00B3498F" w:rsidRDefault="0027575D" w:rsidP="00B34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250654">
              <w:rPr>
                <w:sz w:val="24"/>
                <w:szCs w:val="24"/>
              </w:rPr>
              <w:t xml:space="preserve">dnia </w:t>
            </w:r>
            <w:r w:rsidR="001C1EB9">
              <w:rPr>
                <w:sz w:val="24"/>
                <w:szCs w:val="24"/>
              </w:rPr>
              <w:t>25 października</w:t>
            </w:r>
            <w:r w:rsidR="00250654">
              <w:rPr>
                <w:sz w:val="24"/>
                <w:szCs w:val="24"/>
              </w:rPr>
              <w:t xml:space="preserve"> 2019 roku</w:t>
            </w:r>
            <w:r w:rsidR="00B3498F" w:rsidRPr="00B3498F">
              <w:rPr>
                <w:sz w:val="24"/>
                <w:szCs w:val="24"/>
              </w:rPr>
              <w:t xml:space="preserve"> do </w:t>
            </w:r>
            <w:r w:rsidR="001C1EB9">
              <w:rPr>
                <w:sz w:val="24"/>
                <w:szCs w:val="24"/>
              </w:rPr>
              <w:t>dnia 8 listopada</w:t>
            </w:r>
            <w:r>
              <w:rPr>
                <w:sz w:val="24"/>
                <w:szCs w:val="24"/>
              </w:rPr>
              <w:t xml:space="preserve"> </w:t>
            </w:r>
            <w:r w:rsidR="00250654">
              <w:rPr>
                <w:sz w:val="24"/>
                <w:szCs w:val="24"/>
              </w:rPr>
              <w:t>2019 roku</w:t>
            </w:r>
            <w:r w:rsidR="001C1EB9">
              <w:rPr>
                <w:sz w:val="24"/>
                <w:szCs w:val="24"/>
              </w:rPr>
              <w:t xml:space="preserve"> </w:t>
            </w:r>
            <w:r w:rsidR="00B3498F" w:rsidRPr="00B3498F">
              <w:rPr>
                <w:sz w:val="24"/>
                <w:szCs w:val="24"/>
              </w:rPr>
              <w:t xml:space="preserve">w godzinach od 8.00 </w:t>
            </w:r>
            <w:proofErr w:type="gramStart"/>
            <w:r w:rsidR="00B3498F" w:rsidRPr="00B3498F">
              <w:rPr>
                <w:sz w:val="24"/>
                <w:szCs w:val="24"/>
              </w:rPr>
              <w:t>do</w:t>
            </w:r>
            <w:proofErr w:type="gramEnd"/>
            <w:r w:rsidR="00B3498F" w:rsidRPr="00B3498F">
              <w:rPr>
                <w:sz w:val="24"/>
                <w:szCs w:val="24"/>
              </w:rPr>
              <w:t xml:space="preserve"> 15.00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2. Miejsce skład</w:t>
            </w:r>
            <w:r w:rsidR="001124E5">
              <w:rPr>
                <w:b/>
                <w:sz w:val="24"/>
                <w:szCs w:val="24"/>
              </w:rPr>
              <w:t>a</w:t>
            </w:r>
            <w:r w:rsidRPr="00B3498F">
              <w:rPr>
                <w:b/>
                <w:sz w:val="24"/>
                <w:szCs w:val="24"/>
              </w:rPr>
              <w:t>nia wniosków</w:t>
            </w:r>
          </w:p>
        </w:tc>
        <w:tc>
          <w:tcPr>
            <w:tcW w:w="6662" w:type="dxa"/>
            <w:vAlign w:val="center"/>
          </w:tcPr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Biuro Stowarzyszenia Lokalna Grupa Działania „Sierpeckie Partnerstwo” ul. Kopernika 9, </w:t>
            </w:r>
            <w:r w:rsidR="00E85EFA">
              <w:rPr>
                <w:sz w:val="24"/>
                <w:szCs w:val="24"/>
                <w:shd w:val="clear" w:color="auto" w:fill="FFFFFF"/>
              </w:rPr>
              <w:t xml:space="preserve">pok. 16,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09-200 Sierpc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0A7FA2" w:rsidRDefault="00B3498F" w:rsidP="000A7FA2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 xml:space="preserve">Wnioski </w:t>
            </w:r>
            <w:r w:rsidR="00055CB7">
              <w:rPr>
                <w:sz w:val="24"/>
                <w:szCs w:val="24"/>
                <w:shd w:val="clear" w:color="auto" w:fill="FFFFFF"/>
              </w:rPr>
              <w:t xml:space="preserve">wraz z załącznikami 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należy składać </w:t>
            </w:r>
            <w:r w:rsidR="006674E2">
              <w:rPr>
                <w:sz w:val="24"/>
                <w:szCs w:val="24"/>
                <w:shd w:val="clear" w:color="auto" w:fill="FFFFFF"/>
              </w:rPr>
              <w:t>w dwóch egzemplarzach w formie papierowej oraz dwóch w wersji elektronicznej na płycie CD bezpośrednio (osobiście, albo przez pełnomocnika albo przez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osobę upoważnioną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) do biura </w:t>
            </w:r>
            <w:r w:rsidRPr="00B3498F">
              <w:rPr>
                <w:sz w:val="24"/>
                <w:szCs w:val="24"/>
                <w:shd w:val="clear" w:color="auto" w:fill="FFFFFF"/>
              </w:rPr>
              <w:t>Stowarzyszenia Lokalna Grupa Działania „Sierpeckie Partnerstwo”</w:t>
            </w:r>
            <w:r w:rsidR="006674E2">
              <w:rPr>
                <w:sz w:val="24"/>
                <w:szCs w:val="24"/>
                <w:shd w:val="clear" w:color="auto" w:fill="FFFFFF"/>
              </w:rPr>
              <w:t>.</w:t>
            </w:r>
            <w:r w:rsidRPr="00B3498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Złożenie wniosku jest potwierdzone na jego kopii. Potwierdzenie zawiera datę </w:t>
            </w:r>
            <w:r w:rsidRPr="00B3498F">
              <w:rPr>
                <w:sz w:val="24"/>
                <w:szCs w:val="24"/>
                <w:shd w:val="clear" w:color="auto" w:fill="FFFFFF"/>
              </w:rPr>
              <w:t>złożenia wniosku</w:t>
            </w:r>
            <w:r w:rsidR="006674E2">
              <w:rPr>
                <w:sz w:val="24"/>
                <w:szCs w:val="24"/>
                <w:shd w:val="clear" w:color="auto" w:fill="FFFFFF"/>
              </w:rPr>
              <w:t xml:space="preserve"> oraz jest opatrzone pieczęcią LGD i </w:t>
            </w:r>
            <w:r w:rsidR="000A7FA2">
              <w:rPr>
                <w:sz w:val="24"/>
                <w:szCs w:val="24"/>
                <w:shd w:val="clear" w:color="auto" w:fill="FFFFFF"/>
              </w:rPr>
              <w:t>podpisane przez osobę przyjmującą wniosek.</w:t>
            </w:r>
          </w:p>
          <w:p w:rsidR="006674E2" w:rsidRPr="00B3498F" w:rsidRDefault="000A7FA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Potwierdzenie zawiera liczbę złożonych załączników. O terminie złożenia wniosku decyduje data i godzina wpływu do Biura Stowarzyszenia.</w:t>
            </w:r>
          </w:p>
          <w:p w:rsidR="00B3498F" w:rsidRPr="00B3498F" w:rsidRDefault="006674E2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Na prośbę Wnioskodawcy pracownik LGD potwierdza złożenie wniosku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>także na jego kopii.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3175FA" w:rsidP="00B3498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Wniosek </w:t>
            </w:r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powinien być czytelnie podpisany w wyznaczonych do tego miejscach przez </w:t>
            </w:r>
            <w:proofErr w:type="gramStart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Wnioskodawcę , </w:t>
            </w:r>
            <w:proofErr w:type="gramEnd"/>
            <w:r w:rsidR="00B3498F" w:rsidRPr="00B3498F">
              <w:rPr>
                <w:sz w:val="24"/>
                <w:szCs w:val="24"/>
                <w:shd w:val="clear" w:color="auto" w:fill="FFFFFF"/>
              </w:rPr>
              <w:t xml:space="preserve">osoby uprawnione do reprezentowania podmiotu bądź pełnomocnika. </w:t>
            </w: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</w:p>
          <w:p w:rsidR="00B3498F" w:rsidRPr="00B3498F" w:rsidRDefault="00B3498F" w:rsidP="00B3498F">
            <w:pPr>
              <w:rPr>
                <w:sz w:val="24"/>
                <w:szCs w:val="24"/>
                <w:shd w:val="clear" w:color="auto" w:fill="FFFFFF"/>
              </w:rPr>
            </w:pPr>
            <w:r w:rsidRPr="00B3498F">
              <w:rPr>
                <w:sz w:val="24"/>
                <w:szCs w:val="24"/>
                <w:shd w:val="clear" w:color="auto" w:fill="FFFFFF"/>
              </w:rPr>
              <w:t>Za prawidłowe sporządzenie wniosku odpowiada Wnioskodawca.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3. Forma wsparcia</w:t>
            </w:r>
          </w:p>
        </w:tc>
        <w:tc>
          <w:tcPr>
            <w:tcW w:w="6662" w:type="dxa"/>
            <w:vAlign w:val="center"/>
          </w:tcPr>
          <w:p w:rsidR="00C77DD5" w:rsidRDefault="003A3E2E" w:rsidP="00C77D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Przedsięwzięcie 2.1</w:t>
            </w:r>
            <w:r w:rsidR="00561F2E" w:rsidRPr="00561F2E">
              <w:rPr>
                <w:b/>
                <w:bCs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 „Nowoczesna infrastruktura </w:t>
            </w:r>
            <w:proofErr w:type="spellStart"/>
            <w:proofErr w:type="gramStart"/>
            <w:r>
              <w:rPr>
                <w:sz w:val="24"/>
                <w:szCs w:val="24"/>
              </w:rPr>
              <w:t>podstwą</w:t>
            </w:r>
            <w:proofErr w:type="spellEnd"/>
            <w:r>
              <w:rPr>
                <w:sz w:val="24"/>
                <w:szCs w:val="24"/>
              </w:rPr>
              <w:t xml:space="preserve"> jakości</w:t>
            </w:r>
            <w:proofErr w:type="gramEnd"/>
            <w:r>
              <w:rPr>
                <w:sz w:val="24"/>
                <w:szCs w:val="24"/>
              </w:rPr>
              <w:t xml:space="preserve"> życia</w:t>
            </w:r>
            <w:r w:rsidR="00561F2E" w:rsidRPr="00561F2E">
              <w:rPr>
                <w:sz w:val="24"/>
                <w:szCs w:val="24"/>
              </w:rPr>
              <w:t>”</w:t>
            </w:r>
          </w:p>
          <w:p w:rsidR="00C77DD5" w:rsidRDefault="00C77DD5" w:rsidP="00C77DD5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br/>
            </w:r>
            <w:r w:rsidR="003A3E2E" w:rsidRPr="00C77D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Wysokość wsparcia w rama</w:t>
            </w:r>
            <w:r w:rsidR="00491DA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ch jednej operacji wynosi do 200 000,00</w:t>
            </w:r>
            <w:r w:rsidR="003A3E2E" w:rsidRPr="00C77DD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zł, ma formę refundacji poniesionych kosztów kwalifikowalnych:</w:t>
            </w:r>
          </w:p>
          <w:p w:rsidR="003E1B2A" w:rsidRPr="003E1B2A" w:rsidRDefault="003A3E2E" w:rsidP="00C77DD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wysokości</w:t>
            </w:r>
            <w:r w:rsidR="003E1B2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nie wyższej niż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63,63% kosztów kwalifikowalnych – dla jednostek sektora finansów publicznych,</w:t>
            </w:r>
          </w:p>
          <w:p w:rsidR="00C77DD5" w:rsidRPr="00C77DD5" w:rsidRDefault="003A3E2E" w:rsidP="00C77DD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90% kosztów kwalifikowalnych – dla organizacji pozarządowych,</w:t>
            </w:r>
          </w:p>
          <w:p w:rsidR="00C77DD5" w:rsidRDefault="003A3E2E" w:rsidP="00C77DD5">
            <w:pPr>
              <w:pStyle w:val="Akapitzlist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70% kosztów kwalifikowanych – dla 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podmiotów wykonujących działalność gospodarcz</w:t>
            </w:r>
            <w:r w:rsidR="005550EA">
              <w:rPr>
                <w:rFonts w:eastAsia="Times New Roman" w:cs="Times New Roman"/>
                <w:sz w:val="24"/>
                <w:szCs w:val="24"/>
                <w:lang w:eastAsia="pl-PL"/>
              </w:rPr>
              <w:t>ą,</w:t>
            </w:r>
          </w:p>
          <w:p w:rsidR="003A3E2E" w:rsidRDefault="003A3E2E" w:rsidP="00C77DD5">
            <w:pPr>
              <w:pStyle w:val="Akapitzlist"/>
              <w:numPr>
                <w:ilvl w:val="0"/>
                <w:numId w:val="9"/>
              </w:num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poziomu 100 % kosztów kwalifikowanych – dla</w:t>
            </w:r>
            <w:r w:rsidR="005550E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7DD5">
              <w:rPr>
                <w:rFonts w:eastAsia="Times New Roman" w:cs="Times New Roman"/>
                <w:sz w:val="24"/>
                <w:szCs w:val="24"/>
                <w:lang w:eastAsia="pl-PL"/>
              </w:rPr>
              <w:t>pozostałych podmiotów.</w:t>
            </w:r>
          </w:p>
          <w:p w:rsidR="00C77DD5" w:rsidRPr="00C77DD5" w:rsidRDefault="00C77DD5" w:rsidP="00C77DD5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3498F" w:rsidRPr="00C77DD5" w:rsidRDefault="003A3E2E" w:rsidP="00C77DD5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A3E2E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(na podstawie zapisów Lokalnej Strategii Rozwoju Stowarzyszenia LGD „Sierpeckie Partnerstwo”, rozdział VI, strona 50)</w:t>
            </w:r>
            <w:r w:rsidRPr="003A3E2E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4.  Zakres tematyczny operacji</w:t>
            </w:r>
          </w:p>
        </w:tc>
        <w:tc>
          <w:tcPr>
            <w:tcW w:w="6662" w:type="dxa"/>
          </w:tcPr>
          <w:p w:rsidR="00E7047C" w:rsidRDefault="00C77DD5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ogólny 2</w:t>
            </w:r>
            <w:r w:rsidR="00E7047C">
              <w:rPr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sz w:val="24"/>
                <w:szCs w:val="24"/>
              </w:rPr>
              <w:t>Poprawa jakości</w:t>
            </w:r>
            <w:proofErr w:type="gramEnd"/>
            <w:r>
              <w:rPr>
                <w:sz w:val="24"/>
                <w:szCs w:val="24"/>
              </w:rPr>
              <w:t xml:space="preserve"> życia na obszarze LSR</w:t>
            </w:r>
          </w:p>
          <w:p w:rsidR="00E7047C" w:rsidRPr="00E7047C" w:rsidRDefault="00C77DD5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 szczegółowy 2.1 </w:t>
            </w:r>
            <w:r w:rsidR="00E7047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Rozwój ogólnodostępnej i niekomercyjnej infrastruktury na obszarze LSR do 2023 r.</w:t>
            </w:r>
          </w:p>
          <w:p w:rsidR="00B3498F" w:rsidRPr="00B3498F" w:rsidRDefault="00C77DD5" w:rsidP="00B349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Przedsięwzięcie 2.1.1 </w:t>
            </w:r>
            <w:r>
              <w:rPr>
                <w:sz w:val="24"/>
                <w:szCs w:val="24"/>
              </w:rPr>
              <w:t xml:space="preserve">„Nowoczesna infrastruktura </w:t>
            </w:r>
            <w:proofErr w:type="gramStart"/>
            <w:r>
              <w:rPr>
                <w:sz w:val="24"/>
                <w:szCs w:val="24"/>
              </w:rPr>
              <w:t>podstawą jakości</w:t>
            </w:r>
            <w:proofErr w:type="gramEnd"/>
            <w:r>
              <w:rPr>
                <w:sz w:val="24"/>
                <w:szCs w:val="24"/>
              </w:rPr>
              <w:t xml:space="preserve"> życia”</w:t>
            </w:r>
          </w:p>
          <w:p w:rsidR="00B3498F" w:rsidRPr="00B3498F" w:rsidRDefault="00B3498F" w:rsidP="00B3498F">
            <w:pPr>
              <w:rPr>
                <w:sz w:val="24"/>
                <w:szCs w:val="24"/>
              </w:rPr>
            </w:pPr>
            <w:r w:rsidRPr="00B3498F">
              <w:rPr>
                <w:sz w:val="24"/>
                <w:szCs w:val="24"/>
              </w:rPr>
              <w:t>Zakres tematyczny mieści się w zakresie wymie</w:t>
            </w:r>
            <w:r w:rsidR="000B16B2">
              <w:rPr>
                <w:sz w:val="24"/>
                <w:szCs w:val="24"/>
              </w:rPr>
              <w:t xml:space="preserve">nionym w §2 ust. 1 pkt. 6 </w:t>
            </w:r>
            <w:r w:rsidRPr="00B3498F">
              <w:rPr>
                <w:sz w:val="24"/>
                <w:szCs w:val="24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społeczności„ objętego Programem Rozwoju Obsza</w:t>
            </w:r>
            <w:r w:rsidR="001124E5">
              <w:rPr>
                <w:sz w:val="24"/>
                <w:szCs w:val="24"/>
              </w:rPr>
              <w:t>rów Wiejskich na lata 2016 - 20</w:t>
            </w:r>
            <w:r w:rsidRPr="00B3498F">
              <w:rPr>
                <w:sz w:val="24"/>
                <w:szCs w:val="24"/>
              </w:rPr>
              <w:t>22</w:t>
            </w:r>
            <w:r w:rsidR="000B16B2">
              <w:rPr>
                <w:sz w:val="24"/>
                <w:szCs w:val="24"/>
                <w:shd w:val="clear" w:color="auto" w:fill="FFFFFF"/>
              </w:rPr>
              <w:t xml:space="preserve"> (tj. Dz.U.2019 </w:t>
            </w:r>
            <w:proofErr w:type="gramStart"/>
            <w:r w:rsidR="008F53BB">
              <w:rPr>
                <w:sz w:val="24"/>
                <w:szCs w:val="24"/>
                <w:shd w:val="clear" w:color="auto" w:fill="FFFFFF"/>
              </w:rPr>
              <w:t>poz</w:t>
            </w:r>
            <w:proofErr w:type="gramEnd"/>
            <w:r w:rsidR="000B16B2">
              <w:rPr>
                <w:sz w:val="24"/>
                <w:szCs w:val="24"/>
                <w:shd w:val="clear" w:color="auto" w:fill="FFFFFF"/>
              </w:rPr>
              <w:t>. 664</w:t>
            </w:r>
            <w:r w:rsidRPr="00B3498F">
              <w:rPr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5. Warunki udzielenia wsparcia</w:t>
            </w:r>
          </w:p>
        </w:tc>
        <w:tc>
          <w:tcPr>
            <w:tcW w:w="6662" w:type="dxa"/>
            <w:vAlign w:val="center"/>
          </w:tcPr>
          <w:p w:rsidR="00140842" w:rsidRDefault="00B3498F" w:rsidP="00140842">
            <w:pPr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Aby wniosek mógł zostać wybrany przez LGD do finansowania, m</w:t>
            </w:r>
            <w:r w:rsidR="00E3730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usi spełnić warunki określone w Rozporządzeniu</w:t>
            </w:r>
            <w:r w:rsidRPr="00B3498F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</w:t>
            </w:r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na lata 2014-2020 (tj. Dz.U.2019 </w:t>
            </w:r>
            <w:proofErr w:type="gramStart"/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poz</w:t>
            </w:r>
            <w:proofErr w:type="gramEnd"/>
            <w:r w:rsidR="004C570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. 664</w:t>
            </w:r>
            <w:r w:rsidR="00140842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>).</w:t>
            </w:r>
            <w:r w:rsidR="0030369C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4751F" w:rsidRPr="0032665F" w:rsidRDefault="0032665F" w:rsidP="0032665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0"/>
                <w:lang w:eastAsia="pl-PL"/>
              </w:rPr>
              <w:br/>
              <w:t xml:space="preserve">1. </w:t>
            </w:r>
            <w:r w:rsidR="0004751F" w:rsidRPr="0032665F">
              <w:rPr>
                <w:rFonts w:eastAsia="Times New Roman" w:cs="Times New Roman"/>
                <w:sz w:val="24"/>
                <w:szCs w:val="20"/>
                <w:lang w:eastAsia="pl-PL"/>
              </w:rPr>
              <w:t>Operacja jest zgodna z LSR wówczas, gdy łącznie spełnia następujące warunki: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1) zostały złożone w miejscu i czasie wskazanym w ogłoszeniu 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br/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o naborze,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2) których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zakres tematyczny operacji zgodny jest z zakresem tematycznym wskazanym w ogłoszeniu o naborze,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3) których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została złożona realizacja celu ogólnego i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szczegółowego LSR, przez osiąganie zaplanowanych w LSR wskaźników (planowane do osiągnięcia w wyniku operacji cele, przedsięwzięcia oraz wskaźniki określa </w:t>
            </w:r>
            <w:r w:rsidRPr="0004751F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  <w:lang w:eastAsia="pl-PL"/>
              </w:rPr>
              <w:t>Załącznik nr 1</w:t>
            </w:r>
            <w:r w:rsidR="0032665F">
              <w:rPr>
                <w:rFonts w:eastAsia="Times New Roman" w:cs="Times New Roman"/>
                <w:sz w:val="24"/>
                <w:szCs w:val="20"/>
                <w:lang w:eastAsia="pl-PL"/>
              </w:rPr>
              <w:t> do ogłoszenia o naborze nr 4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/2019)</w:t>
            </w:r>
          </w:p>
          <w:p w:rsidR="0004751F" w:rsidRPr="0004751F" w:rsidRDefault="0004751F" w:rsidP="0004751F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4) są zgodne z Programem Rozwoju Obszarów Wiejskich na lata 2014-2020, w </w:t>
            </w: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ramach którego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jest planowana realizacja tej </w:t>
            </w:r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lastRenderedPageBreak/>
              <w:t>operacji, w tym:</w:t>
            </w:r>
          </w:p>
          <w:p w:rsidR="0004751F" w:rsidRPr="0004751F" w:rsidRDefault="0004751F" w:rsidP="0004751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a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) zgodne z formą wsparcia wskazaną w ogłoszeniu naboru wniosków o przyznanie pomocy (refundacja),</w:t>
            </w:r>
          </w:p>
          <w:p w:rsidR="00ED6B50" w:rsidRPr="006B502D" w:rsidRDefault="0004751F" w:rsidP="00477CDA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proofErr w:type="gramStart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b</w:t>
            </w:r>
            <w:proofErr w:type="gramEnd"/>
            <w:r w:rsidRPr="0004751F">
              <w:rPr>
                <w:rFonts w:eastAsia="Times New Roman" w:cs="Times New Roman"/>
                <w:sz w:val="24"/>
                <w:szCs w:val="20"/>
                <w:lang w:eastAsia="pl-PL"/>
              </w:rPr>
              <w:t>) zgodne z warunkami udzielenia wsparcia obowiązującymi w ramach naboru.</w:t>
            </w:r>
          </w:p>
          <w:p w:rsidR="006B502D" w:rsidRPr="007E55B5" w:rsidRDefault="007E55B5" w:rsidP="007E55B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FF0000"/>
                <w:sz w:val="24"/>
                <w:szCs w:val="20"/>
                <w:lang w:eastAsia="pl-PL"/>
              </w:rPr>
            </w:pPr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O pozycji na liście operacji wybranych do finansowania decyduje liczba uzyskanych </w:t>
            </w:r>
            <w:proofErr w:type="spellStart"/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>punktów.W</w:t>
            </w:r>
            <w:proofErr w:type="spellEnd"/>
            <w:r w:rsidRPr="007E55B5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przypadku równej liczby punktów kilku wniosków decydować będzie data i godzina złożenia wniosku o przyznanie pomocy w biurze LGD.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lastRenderedPageBreak/>
              <w:t>6. Kryteria wyboru operacji wra</w:t>
            </w:r>
            <w:r w:rsidR="009C3AA7">
              <w:rPr>
                <w:b/>
                <w:sz w:val="24"/>
                <w:szCs w:val="24"/>
              </w:rPr>
              <w:t>z ze wskazaniem minimalnej liczb</w:t>
            </w:r>
            <w:r w:rsidRPr="00B3498F">
              <w:rPr>
                <w:b/>
                <w:sz w:val="24"/>
                <w:szCs w:val="24"/>
              </w:rPr>
              <w:t>y punktów, której uzyskanie jest warunkiem wyboru operacji</w:t>
            </w:r>
          </w:p>
        </w:tc>
        <w:tc>
          <w:tcPr>
            <w:tcW w:w="6662" w:type="dxa"/>
            <w:vAlign w:val="center"/>
          </w:tcPr>
          <w:p w:rsidR="00B23947" w:rsidRPr="00B23947" w:rsidRDefault="00B23947" w:rsidP="00B23947">
            <w:pPr>
              <w:rPr>
                <w:rFonts w:eastAsia="Times New Roman" w:cs="Times New Roman"/>
                <w:sz w:val="32"/>
                <w:szCs w:val="24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>Kryteria wyboru operacji zamieszczone na</w:t>
            </w:r>
            <w:r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 xml:space="preserve"> stronie poniżej ogłoszenia nr 4</w:t>
            </w:r>
            <w:r w:rsidRPr="00B23947">
              <w:rPr>
                <w:rFonts w:eastAsia="Times New Roman" w:cs="Times New Roman"/>
                <w:sz w:val="24"/>
                <w:szCs w:val="20"/>
                <w:shd w:val="clear" w:color="auto" w:fill="FFFFFF"/>
                <w:lang w:eastAsia="pl-PL"/>
              </w:rPr>
              <w:t>/2019.</w:t>
            </w:r>
          </w:p>
          <w:p w:rsidR="00B23947" w:rsidRPr="00B23947" w:rsidRDefault="00B23947" w:rsidP="00B23947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>Procedury przeprowadzania naboru i wyboru wniosków składanych przez podmioty inne niż LGD finansowanych z PROW zamieszczone na</w:t>
            </w:r>
            <w:r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 stronie poniżej ogłoszenia nr 4</w:t>
            </w: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>/2019.</w:t>
            </w:r>
          </w:p>
          <w:p w:rsidR="00B23947" w:rsidRPr="00B23947" w:rsidRDefault="00B23947" w:rsidP="00B23947">
            <w:pPr>
              <w:shd w:val="clear" w:color="auto" w:fill="FFFFFF"/>
              <w:spacing w:after="150"/>
              <w:rPr>
                <w:rFonts w:eastAsia="Times New Roman" w:cs="Times New Roman"/>
                <w:sz w:val="28"/>
                <w:szCs w:val="23"/>
                <w:lang w:eastAsia="pl-PL"/>
              </w:rPr>
            </w:pPr>
            <w:r w:rsidRPr="00B23947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Wnioskodawca powinien odnieść się do kryteriów wyboru operacji w polu B III 1.4. Wniosku o przyznanie pomocy. </w:t>
            </w:r>
          </w:p>
          <w:p w:rsidR="00B3498F" w:rsidRPr="003F3705" w:rsidRDefault="00934B54" w:rsidP="00B3498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Minimalna liczba punktów, których uzyskanie jest warunkiem wyboru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op</w:t>
            </w:r>
            <w:r w:rsidR="003E6BA0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="00B23947">
              <w:rPr>
                <w:rFonts w:eastAsia="Times New Roman" w:cs="Times New Roman"/>
                <w:sz w:val="24"/>
                <w:szCs w:val="24"/>
                <w:lang w:eastAsia="pl-PL"/>
              </w:rPr>
              <w:t>racji wynosi 35</w:t>
            </w:r>
            <w:r w:rsidR="003F3705" w:rsidRPr="005B14E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pkt.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7. Wymagane dokumenty potwierdzające spełnienie warunków udzielenia wsparcia oraz kryteriów wyboru operacji</w:t>
            </w:r>
          </w:p>
        </w:tc>
        <w:tc>
          <w:tcPr>
            <w:tcW w:w="6662" w:type="dxa"/>
          </w:tcPr>
          <w:p w:rsidR="00B3498F" w:rsidRDefault="00FD27F7" w:rsidP="00B3498F">
            <w:pPr>
              <w:rPr>
                <w:sz w:val="24"/>
                <w:szCs w:val="20"/>
                <w:shd w:val="clear" w:color="auto" w:fill="FFFFFF"/>
              </w:rPr>
            </w:pPr>
            <w:r w:rsidRPr="00FD27F7">
              <w:rPr>
                <w:sz w:val="24"/>
                <w:szCs w:val="20"/>
                <w:shd w:val="clear" w:color="auto" w:fill="FFFFFF"/>
              </w:rPr>
              <w:t xml:space="preserve">Wniosek o przyznanie pomocy na operacje w ramach poddziałania 19.2 „Wsparcie na wdrażanie strategii rozwoju lokalnego kierowanego przez społeczność” z wyłączeniem projektów grantowych oraz operacji w zakresie podejmowania działalności gospodarczej objętego Programem Rozwoju Obszarów Wiejskich na lata 2014–2020 wraz z wymaganymi załącznikami. </w:t>
            </w:r>
          </w:p>
          <w:p w:rsidR="00857874" w:rsidRDefault="00857874" w:rsidP="00B3498F">
            <w:pPr>
              <w:rPr>
                <w:sz w:val="24"/>
                <w:szCs w:val="20"/>
                <w:shd w:val="clear" w:color="auto" w:fill="FFFFFF"/>
              </w:rPr>
            </w:pPr>
          </w:p>
          <w:p w:rsidR="00857874" w:rsidRPr="00857874" w:rsidRDefault="00857874" w:rsidP="00B34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857874">
              <w:rPr>
                <w:rFonts w:cstheme="minorHAnsi"/>
                <w:sz w:val="24"/>
                <w:szCs w:val="24"/>
                <w:shd w:val="clear" w:color="auto" w:fill="FFFFFF"/>
              </w:rPr>
              <w:t>Oświadczenie w sprawie zgody na doręczanie pism za pomocą środków komunikacji elektronicznej, którego wzór stanowi </w:t>
            </w:r>
            <w:r w:rsidRPr="00857874">
              <w:rPr>
                <w:rStyle w:val="Uwydatnienie"/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Załącznik nr 2</w:t>
            </w:r>
            <w:r w:rsidR="001D357F">
              <w:rPr>
                <w:rFonts w:cstheme="minorHAnsi"/>
                <w:sz w:val="24"/>
                <w:szCs w:val="24"/>
                <w:shd w:val="clear" w:color="auto" w:fill="FFFFFF"/>
              </w:rPr>
              <w:t> do ogłoszenia nr 4</w:t>
            </w:r>
            <w:r w:rsidRPr="00857874">
              <w:rPr>
                <w:rFonts w:cstheme="minorHAnsi"/>
                <w:sz w:val="24"/>
                <w:szCs w:val="24"/>
                <w:shd w:val="clear" w:color="auto" w:fill="FFFFFF"/>
              </w:rPr>
              <w:t>/2019.</w:t>
            </w:r>
          </w:p>
          <w:p w:rsidR="0093781F" w:rsidRDefault="0093781F" w:rsidP="00B3498F">
            <w:pPr>
              <w:shd w:val="clear" w:color="auto" w:fill="FFFFFF"/>
              <w:spacing w:after="150"/>
              <w:rPr>
                <w:sz w:val="32"/>
                <w:szCs w:val="24"/>
              </w:rPr>
            </w:pPr>
          </w:p>
          <w:p w:rsidR="00B3498F" w:rsidRPr="00B3498F" w:rsidRDefault="00B3498F" w:rsidP="00B3498F">
            <w:pPr>
              <w:shd w:val="clear" w:color="auto" w:fill="FFFFFF"/>
              <w:spacing w:after="15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Przed wypełnieniem wniosku należy zapoznać się z Instrukcją wypełniania wniosku o przyznanie pomocy</w:t>
            </w:r>
            <w:proofErr w:type="gramStart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,  rozporządzeniem</w:t>
            </w:r>
            <w:proofErr w:type="gramEnd"/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Ministra Rolnictwa i Rozwoju Wsi z dnia 24 września 2015 r. w sprawie szczegółowych warunków i trybu przyznawania pomocy finansowej w ramach poddziałania „Wsparcie na wdrażanie operacji w ramach strategii rozwoju lokalnego kierowanego przez społeczność” objętego Programem Rozwoju Obszarów Wiejskich </w:t>
            </w:r>
            <w:r w:rsidR="00FD27F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lata </w:t>
            </w:r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2014–2020 (tj. Dz.U.2019 </w:t>
            </w:r>
            <w:proofErr w:type="gramStart"/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>poz</w:t>
            </w:r>
            <w:proofErr w:type="gramEnd"/>
            <w:r w:rsidR="006C1F15">
              <w:rPr>
                <w:rFonts w:eastAsia="Times New Roman" w:cs="Times New Roman"/>
                <w:sz w:val="24"/>
                <w:szCs w:val="24"/>
                <w:lang w:eastAsia="pl-PL"/>
              </w:rPr>
              <w:t>.664</w:t>
            </w:r>
            <w:r w:rsidRPr="00B3498F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B3498F" w:rsidP="00B3498F">
            <w:pPr>
              <w:rPr>
                <w:b/>
                <w:sz w:val="24"/>
                <w:szCs w:val="24"/>
              </w:rPr>
            </w:pPr>
            <w:r w:rsidRPr="00B3498F">
              <w:rPr>
                <w:b/>
                <w:sz w:val="24"/>
                <w:szCs w:val="24"/>
              </w:rPr>
              <w:t>8. Limit dostępnych środków</w:t>
            </w:r>
          </w:p>
        </w:tc>
        <w:tc>
          <w:tcPr>
            <w:tcW w:w="6662" w:type="dxa"/>
          </w:tcPr>
          <w:p w:rsidR="00B3498F" w:rsidRPr="00B3498F" w:rsidRDefault="00AE33C3" w:rsidP="00B3498F">
            <w:pPr>
              <w:rPr>
                <w:b/>
                <w:sz w:val="24"/>
                <w:szCs w:val="24"/>
              </w:rPr>
            </w:pPr>
            <w:r w:rsidRPr="00AE33C3">
              <w:rPr>
                <w:b/>
                <w:sz w:val="24"/>
                <w:szCs w:val="24"/>
              </w:rPr>
              <w:t>1 816 248,48 zł</w:t>
            </w:r>
          </w:p>
        </w:tc>
      </w:tr>
      <w:tr w:rsidR="00B3498F" w:rsidRPr="00B3498F" w:rsidTr="007A0568">
        <w:tc>
          <w:tcPr>
            <w:tcW w:w="3544" w:type="dxa"/>
          </w:tcPr>
          <w:p w:rsidR="00B3498F" w:rsidRPr="00B3498F" w:rsidRDefault="002604B4" w:rsidP="00B34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 Informacja o</w:t>
            </w:r>
            <w:r w:rsidR="00B3498F" w:rsidRPr="00B3498F">
              <w:rPr>
                <w:b/>
                <w:sz w:val="24"/>
                <w:szCs w:val="24"/>
              </w:rPr>
              <w:t xml:space="preserve"> miejscu udostępnienia LSR, formularza wniosku o udzielenie wsparcia, formularza wniosku o płatność oraz formularza umowy o udzielenie wsparcia</w:t>
            </w:r>
          </w:p>
        </w:tc>
        <w:tc>
          <w:tcPr>
            <w:tcW w:w="6662" w:type="dxa"/>
          </w:tcPr>
          <w:p w:rsidR="00BB6627" w:rsidRPr="00BB6627" w:rsidRDefault="001755DC" w:rsidP="00B3498F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Informacja o miejscu udostepnienia LSR znajduje się na stronie Stowarzyszenia LGD „Sierpeckie Partnerstwo” </w:t>
            </w:r>
            <w:hyperlink r:id="rId8" w:history="1">
              <w:r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www.lgdsp.pl</w:t>
              </w:r>
            </w:hyperlink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 zakładce PROW 2014-2020/Lokalna Strategia Rozwoju 2016-2022.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Dok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umentacja konkursowa,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formularze wniosków o przyznanie pomocy, formularze umowy o udzielenie wsparcia oraz formularze wniosków o płatność znajdują się na stronie internetowej Stowarzyszenia LGD „Sierpeckie Partnerstwo” </w:t>
            </w:r>
            <w:hyperlink r:id="rId9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www.lgdsp.pl</w:t>
              </w:r>
            </w:hyperlink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C5BCD">
              <w:rPr>
                <w:color w:val="000000" w:themeColor="text1"/>
                <w:sz w:val="24"/>
                <w:szCs w:val="24"/>
                <w:shd w:val="clear" w:color="auto" w:fill="FFFFFF"/>
              </w:rPr>
              <w:t>w zakładce PROW 2014-2020/ Informacje dla Wnioskodawców/ Formularze wniosków i umów/przejdź do strony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oraz na stronie internetowej Samo</w:t>
            </w:r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rządu Województwa Mazowieckiego </w:t>
            </w:r>
            <w:hyperlink r:id="rId10" w:history="1">
              <w:r w:rsidR="00BB6627" w:rsidRPr="007C5007">
                <w:rPr>
                  <w:rStyle w:val="Hipercze"/>
                  <w:sz w:val="24"/>
                  <w:szCs w:val="24"/>
                  <w:shd w:val="clear" w:color="auto" w:fill="FFFFFF"/>
                </w:rPr>
                <w:t>www.mazowieckie.ksow.pl</w:t>
              </w:r>
            </w:hyperlink>
            <w:r w:rsidR="00BB66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oraz na stronie Agencji </w:t>
            </w:r>
            <w:r w:rsidR="00B3498F" w:rsidRPr="00B3498F">
              <w:rPr>
                <w:color w:val="000000" w:themeColor="text1"/>
                <w:sz w:val="24"/>
                <w:szCs w:val="24"/>
                <w:shd w:val="clear" w:color="auto" w:fill="FFFFFF"/>
              </w:rPr>
              <w:t>Restrukturyzacji i Modernizacji Rolnictwa </w:t>
            </w:r>
            <w:hyperlink r:id="rId11" w:history="1">
              <w:r w:rsidR="00B3498F" w:rsidRPr="00B3498F">
                <w:rPr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www.arimr.gov.pl</w:t>
              </w:r>
            </w:hyperlink>
            <w:bookmarkEnd w:id="0"/>
          </w:p>
        </w:tc>
      </w:tr>
    </w:tbl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/>
    <w:p w:rsidR="000B6A6A" w:rsidRDefault="000B6A6A" w:rsidP="000B6A6A"/>
    <w:p w:rsidR="00D414DF" w:rsidRDefault="00D414DF" w:rsidP="000B6A6A"/>
    <w:p w:rsidR="00D414DF" w:rsidRDefault="00D414DF" w:rsidP="000B6A6A"/>
    <w:p w:rsidR="00D414DF" w:rsidRDefault="00D414DF" w:rsidP="000B6A6A"/>
    <w:p w:rsidR="00D414DF" w:rsidRDefault="00D414DF" w:rsidP="000B6A6A"/>
    <w:p w:rsidR="00EC2626" w:rsidRDefault="00EC2626" w:rsidP="000B6A6A"/>
    <w:sectPr w:rsidR="00EC2626" w:rsidSect="004855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B" w:rsidRDefault="003215AB">
      <w:pPr>
        <w:spacing w:after="0" w:line="240" w:lineRule="auto"/>
      </w:pPr>
      <w:r>
        <w:separator/>
      </w:r>
    </w:p>
  </w:endnote>
  <w:endnote w:type="continuationSeparator" w:id="0">
    <w:p w:rsidR="003215AB" w:rsidRDefault="0032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B" w:rsidRDefault="003215AB">
      <w:pPr>
        <w:spacing w:after="0" w:line="240" w:lineRule="auto"/>
      </w:pPr>
      <w:r>
        <w:separator/>
      </w:r>
    </w:p>
  </w:footnote>
  <w:footnote w:type="continuationSeparator" w:id="0">
    <w:p w:rsidR="003215AB" w:rsidRDefault="0032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3215AB" w:rsidP="00001BC0">
    <w:pPr>
      <w:pStyle w:val="Stopka"/>
      <w:jc w:val="center"/>
      <w:rPr>
        <w:b/>
        <w:sz w:val="18"/>
      </w:rPr>
    </w:pPr>
  </w:p>
  <w:p w:rsidR="00001BC0" w:rsidRDefault="003215AB" w:rsidP="00001BC0">
    <w:pPr>
      <w:pStyle w:val="Stopka"/>
      <w:jc w:val="center"/>
      <w:rPr>
        <w:b/>
        <w:sz w:val="18"/>
      </w:rPr>
    </w:pPr>
  </w:p>
  <w:p w:rsidR="00001BC0" w:rsidRDefault="003215AB" w:rsidP="00001BC0">
    <w:pPr>
      <w:pStyle w:val="Stopka"/>
      <w:jc w:val="center"/>
      <w:rPr>
        <w:b/>
        <w:sz w:val="18"/>
      </w:rPr>
    </w:pPr>
  </w:p>
  <w:p w:rsidR="00001BC0" w:rsidRDefault="003215AB" w:rsidP="00001BC0">
    <w:pPr>
      <w:pStyle w:val="Stopka"/>
      <w:jc w:val="center"/>
      <w:rPr>
        <w:b/>
        <w:sz w:val="18"/>
      </w:rPr>
    </w:pPr>
  </w:p>
  <w:p w:rsidR="00001BC0" w:rsidRDefault="003215AB" w:rsidP="00001BC0">
    <w:pPr>
      <w:pStyle w:val="Stopka"/>
      <w:jc w:val="center"/>
      <w:rPr>
        <w:b/>
        <w:sz w:val="18"/>
      </w:rPr>
    </w:pPr>
  </w:p>
  <w:p w:rsidR="00001BC0" w:rsidRDefault="003215AB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321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059"/>
    <w:multiLevelType w:val="multilevel"/>
    <w:tmpl w:val="93A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7323C"/>
    <w:multiLevelType w:val="multilevel"/>
    <w:tmpl w:val="E38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38A0"/>
    <w:multiLevelType w:val="multilevel"/>
    <w:tmpl w:val="1D9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7313"/>
    <w:multiLevelType w:val="multilevel"/>
    <w:tmpl w:val="C70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B0FCA"/>
    <w:multiLevelType w:val="hybridMultilevel"/>
    <w:tmpl w:val="D1428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850F2"/>
    <w:multiLevelType w:val="hybridMultilevel"/>
    <w:tmpl w:val="1F8C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6B37"/>
    <w:multiLevelType w:val="multilevel"/>
    <w:tmpl w:val="EDF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6B28"/>
    <w:multiLevelType w:val="multilevel"/>
    <w:tmpl w:val="7566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87E8C"/>
    <w:multiLevelType w:val="hybridMultilevel"/>
    <w:tmpl w:val="1D6E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8F8"/>
    <w:multiLevelType w:val="multilevel"/>
    <w:tmpl w:val="3FF4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013AB"/>
    <w:rsid w:val="0004751F"/>
    <w:rsid w:val="00055CB7"/>
    <w:rsid w:val="000A7FA2"/>
    <w:rsid w:val="000B16B2"/>
    <w:rsid w:val="000B6A6A"/>
    <w:rsid w:val="000C58D8"/>
    <w:rsid w:val="000D376B"/>
    <w:rsid w:val="000D5AC7"/>
    <w:rsid w:val="00105862"/>
    <w:rsid w:val="001124E5"/>
    <w:rsid w:val="00114FA1"/>
    <w:rsid w:val="001208E5"/>
    <w:rsid w:val="001267CC"/>
    <w:rsid w:val="00140842"/>
    <w:rsid w:val="0014714F"/>
    <w:rsid w:val="001755DC"/>
    <w:rsid w:val="001759A5"/>
    <w:rsid w:val="001C1EB9"/>
    <w:rsid w:val="001D357F"/>
    <w:rsid w:val="00206537"/>
    <w:rsid w:val="00243FF9"/>
    <w:rsid w:val="00250654"/>
    <w:rsid w:val="002604B4"/>
    <w:rsid w:val="00273BD8"/>
    <w:rsid w:val="0027575D"/>
    <w:rsid w:val="00281C06"/>
    <w:rsid w:val="002A2756"/>
    <w:rsid w:val="002C13F2"/>
    <w:rsid w:val="002D46A6"/>
    <w:rsid w:val="002D566D"/>
    <w:rsid w:val="00301EF1"/>
    <w:rsid w:val="0030369C"/>
    <w:rsid w:val="00312C62"/>
    <w:rsid w:val="003130FA"/>
    <w:rsid w:val="003175FA"/>
    <w:rsid w:val="00317CA0"/>
    <w:rsid w:val="003215AB"/>
    <w:rsid w:val="0032665F"/>
    <w:rsid w:val="00371890"/>
    <w:rsid w:val="003A3E2E"/>
    <w:rsid w:val="003A4CAB"/>
    <w:rsid w:val="003A568C"/>
    <w:rsid w:val="003A5B71"/>
    <w:rsid w:val="003C6D7E"/>
    <w:rsid w:val="003D2CD1"/>
    <w:rsid w:val="003E1B2A"/>
    <w:rsid w:val="003E6BA0"/>
    <w:rsid w:val="003F3705"/>
    <w:rsid w:val="003F4401"/>
    <w:rsid w:val="004011B2"/>
    <w:rsid w:val="00407B86"/>
    <w:rsid w:val="00477CDA"/>
    <w:rsid w:val="00491DA5"/>
    <w:rsid w:val="004A0BA3"/>
    <w:rsid w:val="004A1CFD"/>
    <w:rsid w:val="004C5702"/>
    <w:rsid w:val="004D276F"/>
    <w:rsid w:val="005550EA"/>
    <w:rsid w:val="00561671"/>
    <w:rsid w:val="00561F2E"/>
    <w:rsid w:val="00572294"/>
    <w:rsid w:val="00597937"/>
    <w:rsid w:val="005B0D8E"/>
    <w:rsid w:val="005B14E0"/>
    <w:rsid w:val="005B68FA"/>
    <w:rsid w:val="005E42AB"/>
    <w:rsid w:val="005F234E"/>
    <w:rsid w:val="00615A9A"/>
    <w:rsid w:val="00617368"/>
    <w:rsid w:val="00635008"/>
    <w:rsid w:val="00655F70"/>
    <w:rsid w:val="00663F12"/>
    <w:rsid w:val="006674E2"/>
    <w:rsid w:val="006765C3"/>
    <w:rsid w:val="006B502D"/>
    <w:rsid w:val="006C1F15"/>
    <w:rsid w:val="006D4665"/>
    <w:rsid w:val="006F1A44"/>
    <w:rsid w:val="00701CB4"/>
    <w:rsid w:val="00745DD4"/>
    <w:rsid w:val="00746B4D"/>
    <w:rsid w:val="00792315"/>
    <w:rsid w:val="007A5C8A"/>
    <w:rsid w:val="007C5BCD"/>
    <w:rsid w:val="007E55B5"/>
    <w:rsid w:val="007F023F"/>
    <w:rsid w:val="007F0C4B"/>
    <w:rsid w:val="00804F69"/>
    <w:rsid w:val="00817BB0"/>
    <w:rsid w:val="008304B4"/>
    <w:rsid w:val="0083597E"/>
    <w:rsid w:val="00857874"/>
    <w:rsid w:val="00882FB6"/>
    <w:rsid w:val="008E68B3"/>
    <w:rsid w:val="008F4B2A"/>
    <w:rsid w:val="008F53BB"/>
    <w:rsid w:val="009223B7"/>
    <w:rsid w:val="0093017C"/>
    <w:rsid w:val="00934B54"/>
    <w:rsid w:val="00936B5C"/>
    <w:rsid w:val="0093781F"/>
    <w:rsid w:val="00990B9D"/>
    <w:rsid w:val="009B26DF"/>
    <w:rsid w:val="009C3AA7"/>
    <w:rsid w:val="009C5201"/>
    <w:rsid w:val="009D0116"/>
    <w:rsid w:val="009D45CB"/>
    <w:rsid w:val="009F3254"/>
    <w:rsid w:val="00AA08A7"/>
    <w:rsid w:val="00AB76B7"/>
    <w:rsid w:val="00AE33C3"/>
    <w:rsid w:val="00B23947"/>
    <w:rsid w:val="00B31882"/>
    <w:rsid w:val="00B3498F"/>
    <w:rsid w:val="00B50F26"/>
    <w:rsid w:val="00B534D8"/>
    <w:rsid w:val="00B573C3"/>
    <w:rsid w:val="00B7665E"/>
    <w:rsid w:val="00B84434"/>
    <w:rsid w:val="00B90B9B"/>
    <w:rsid w:val="00BB6627"/>
    <w:rsid w:val="00BF18DE"/>
    <w:rsid w:val="00C13E44"/>
    <w:rsid w:val="00C3386A"/>
    <w:rsid w:val="00C70192"/>
    <w:rsid w:val="00C77DD5"/>
    <w:rsid w:val="00D20E8B"/>
    <w:rsid w:val="00D234EA"/>
    <w:rsid w:val="00D33598"/>
    <w:rsid w:val="00D37222"/>
    <w:rsid w:val="00D414DF"/>
    <w:rsid w:val="00DC3D68"/>
    <w:rsid w:val="00E051F5"/>
    <w:rsid w:val="00E2040F"/>
    <w:rsid w:val="00E3730B"/>
    <w:rsid w:val="00E67E63"/>
    <w:rsid w:val="00E7047C"/>
    <w:rsid w:val="00E722DD"/>
    <w:rsid w:val="00E85EFA"/>
    <w:rsid w:val="00EB00EC"/>
    <w:rsid w:val="00EC2626"/>
    <w:rsid w:val="00EC6E7D"/>
    <w:rsid w:val="00ED6B50"/>
    <w:rsid w:val="00F3234A"/>
    <w:rsid w:val="00FA2FFF"/>
    <w:rsid w:val="00FA3A63"/>
    <w:rsid w:val="00FB3C29"/>
    <w:rsid w:val="00FD27F7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78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B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B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5B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s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eckie.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s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LGDSP</cp:lastModifiedBy>
  <cp:revision>43</cp:revision>
  <cp:lastPrinted>2019-03-19T07:00:00Z</cp:lastPrinted>
  <dcterms:created xsi:type="dcterms:W3CDTF">2019-08-23T10:57:00Z</dcterms:created>
  <dcterms:modified xsi:type="dcterms:W3CDTF">2019-10-11T11:27:00Z</dcterms:modified>
</cp:coreProperties>
</file>