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61" w:rsidRPr="00557561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0"/>
          <w:szCs w:val="22"/>
        </w:rPr>
      </w:pPr>
      <w:r w:rsidRPr="00557561">
        <w:rPr>
          <w:rFonts w:ascii="Book Antiqua" w:hAnsi="Book Antiqua"/>
          <w:i w:val="0"/>
          <w:sz w:val="20"/>
          <w:szCs w:val="22"/>
        </w:rPr>
        <w:t xml:space="preserve">Załącznik </w:t>
      </w:r>
      <w:r w:rsidR="00557561">
        <w:rPr>
          <w:rFonts w:ascii="Book Antiqua" w:hAnsi="Book Antiqua"/>
          <w:i w:val="0"/>
          <w:sz w:val="20"/>
          <w:szCs w:val="22"/>
        </w:rPr>
        <w:t>N</w:t>
      </w:r>
      <w:r w:rsidRPr="00557561">
        <w:rPr>
          <w:rFonts w:ascii="Book Antiqua" w:hAnsi="Book Antiqua"/>
          <w:i w:val="0"/>
          <w:sz w:val="20"/>
          <w:szCs w:val="22"/>
        </w:rPr>
        <w:t xml:space="preserve">r </w:t>
      </w:r>
      <w:r w:rsidR="009F5601">
        <w:rPr>
          <w:rFonts w:ascii="Book Antiqua" w:hAnsi="Book Antiqua"/>
          <w:i w:val="0"/>
          <w:sz w:val="20"/>
          <w:szCs w:val="22"/>
        </w:rPr>
        <w:t>4</w:t>
      </w:r>
      <w:r w:rsidRPr="00557561">
        <w:rPr>
          <w:rFonts w:ascii="Book Antiqua" w:hAnsi="Book Antiqua"/>
          <w:i w:val="0"/>
          <w:sz w:val="20"/>
          <w:szCs w:val="22"/>
        </w:rPr>
        <w:t xml:space="preserve"> </w:t>
      </w:r>
    </w:p>
    <w:p w:rsidR="001F4F25" w:rsidRPr="00557561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2"/>
          <w:szCs w:val="22"/>
        </w:rPr>
      </w:pPr>
      <w:r w:rsidRPr="00557561">
        <w:rPr>
          <w:rFonts w:ascii="Book Antiqua" w:hAnsi="Book Antiqua"/>
          <w:i w:val="0"/>
          <w:sz w:val="20"/>
          <w:szCs w:val="22"/>
        </w:rPr>
        <w:t xml:space="preserve">do zapytania ofertowego 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UMOWA NR </w:t>
      </w:r>
      <w:r w:rsidR="009F5601">
        <w:rPr>
          <w:rFonts w:ascii="Book Antiqua" w:eastAsia="Times New Roman" w:hAnsi="Book Antiqua" w:cs="Times New Roman"/>
          <w:b/>
          <w:sz w:val="20"/>
          <w:lang w:eastAsia="pl-PL"/>
        </w:rPr>
        <w:t>RGK.272……2020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sz w:val="20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zawarta w dniu </w:t>
      </w:r>
      <w:r w:rsidR="00446831" w:rsidRPr="002C4FAA">
        <w:rPr>
          <w:rFonts w:ascii="Book Antiqua" w:eastAsia="Times New Roman" w:hAnsi="Book Antiqua" w:cs="Times New Roman"/>
          <w:sz w:val="20"/>
          <w:lang w:eastAsia="pl-PL"/>
        </w:rPr>
        <w:t>……………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roku w Mochowie pomiędzy Gminą Mochowo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t xml:space="preserve"> z siedzibą w Mochowie, 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br/>
        <w:t>ul. Sierpecka 2</w:t>
      </w:r>
      <w:r w:rsidR="006045E9">
        <w:rPr>
          <w:rFonts w:ascii="Book Antiqua" w:eastAsia="Times New Roman" w:hAnsi="Book Antiqua" w:cs="Times New Roman"/>
          <w:sz w:val="20"/>
          <w:lang w:eastAsia="pl-PL"/>
        </w:rPr>
        <w:t>, 09 – 214 Mochowo, NIP 776 16 15 078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reprezentowaną przez:</w:t>
      </w:r>
    </w:p>
    <w:p w:rsidR="004D60B6" w:rsidRPr="002C4FAA" w:rsidRDefault="004D60B6" w:rsidP="00557561">
      <w:pPr>
        <w:spacing w:after="0"/>
        <w:ind w:left="57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Wójta Gminy </w:t>
      </w:r>
      <w:r w:rsidRPr="006045E9">
        <w:rPr>
          <w:rFonts w:ascii="Book Antiqua" w:eastAsia="Times New Roman" w:hAnsi="Book Antiqua" w:cs="Times New Roman"/>
          <w:sz w:val="20"/>
          <w:lang w:eastAsia="pl-PL"/>
        </w:rPr>
        <w:t>– Zbigniewa Tomaszewskiego</w:t>
      </w:r>
    </w:p>
    <w:p w:rsidR="004D60B6" w:rsidRPr="002C4FAA" w:rsidRDefault="004D60B6" w:rsidP="00557561">
      <w:pPr>
        <w:autoSpaceDE w:val="0"/>
        <w:autoSpaceDN w:val="0"/>
        <w:adjustRightInd w:val="0"/>
        <w:spacing w:after="0"/>
        <w:ind w:firstLine="570"/>
        <w:jc w:val="both"/>
        <w:rPr>
          <w:rFonts w:ascii="Book Antiqua" w:hAnsi="Book Antiqua" w:cs="Times New Roman"/>
          <w:b/>
          <w:bCs/>
          <w:sz w:val="20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przy kontrasygnacie </w:t>
      </w: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Skarbnika Gminy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– Jolanty Augustyniak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zwaną dalej „Zamawiającym”,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a                 </w:t>
      </w:r>
    </w:p>
    <w:p w:rsidR="00CF599F" w:rsidRPr="002C4FAA" w:rsidRDefault="00446831" w:rsidP="00557561">
      <w:pPr>
        <w:spacing w:after="0"/>
        <w:jc w:val="center"/>
        <w:rPr>
          <w:rFonts w:ascii="Book Antiqua" w:hAnsi="Book Antiqua"/>
          <w:sz w:val="20"/>
        </w:rPr>
      </w:pPr>
      <w:r w:rsidRPr="002C4FAA">
        <w:rPr>
          <w:rFonts w:ascii="Book Antiqua" w:hAnsi="Book Antiqua"/>
          <w:b/>
          <w:sz w:val="20"/>
        </w:rPr>
        <w:t>……………………………………………………………..</w:t>
      </w:r>
    </w:p>
    <w:p w:rsidR="004D60B6" w:rsidRPr="002C4FAA" w:rsidRDefault="004D60B6" w:rsidP="00557561">
      <w:pPr>
        <w:spacing w:after="0"/>
        <w:jc w:val="center"/>
        <w:rPr>
          <w:rFonts w:ascii="Book Antiqua" w:eastAsia="Times New Roman" w:hAnsi="Book Antiqua" w:cs="Times New Roman"/>
          <w:sz w:val="14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zwanym dalej „Wykonawcą”, reprezentowanym przez:</w:t>
      </w:r>
    </w:p>
    <w:p w:rsidR="00DB2490" w:rsidRPr="002C4FAA" w:rsidRDefault="00446831" w:rsidP="00557561">
      <w:pPr>
        <w:spacing w:after="0"/>
        <w:ind w:left="708"/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</w:pPr>
      <w:r w:rsidRPr="002C4FAA"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  <w:t>……………………………………………………….</w:t>
      </w:r>
    </w:p>
    <w:p w:rsidR="00DB2490" w:rsidRPr="00D1429F" w:rsidRDefault="00DB2490" w:rsidP="00557561">
      <w:pPr>
        <w:spacing w:after="0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30.000 euro</w:t>
      </w:r>
      <w:r w:rsidRPr="009D028D">
        <w:rPr>
          <w:rFonts w:ascii="Book Antiqua" w:hAnsi="Book Antiqua"/>
          <w:sz w:val="20"/>
        </w:rPr>
        <w:t xml:space="preserve"> na „</w:t>
      </w:r>
      <w:r w:rsidRPr="009F5601">
        <w:rPr>
          <w:rFonts w:ascii="Book Antiqua" w:hAnsi="Book Antiqua"/>
          <w:b/>
          <w:sz w:val="20"/>
        </w:rPr>
        <w:t>Dostaw</w:t>
      </w:r>
      <w:r w:rsidR="00AB204D" w:rsidRPr="009F5601">
        <w:rPr>
          <w:rFonts w:ascii="Book Antiqua" w:hAnsi="Book Antiqua"/>
          <w:b/>
          <w:sz w:val="20"/>
        </w:rPr>
        <w:t>ę</w:t>
      </w:r>
      <w:r w:rsidRPr="009F5601">
        <w:rPr>
          <w:rFonts w:ascii="Book Antiqua" w:hAnsi="Book Antiqua"/>
          <w:b/>
          <w:sz w:val="20"/>
        </w:rPr>
        <w:t xml:space="preserve"> oleju </w:t>
      </w:r>
      <w:r w:rsidR="00446831" w:rsidRPr="009F5601">
        <w:rPr>
          <w:rFonts w:ascii="Book Antiqua" w:hAnsi="Book Antiqua"/>
          <w:b/>
          <w:sz w:val="20"/>
        </w:rPr>
        <w:t xml:space="preserve">opałowego do celów grzewczych </w:t>
      </w:r>
      <w:r w:rsidR="00446831" w:rsidRPr="009F5601">
        <w:rPr>
          <w:rFonts w:ascii="Book Antiqua" w:hAnsi="Book Antiqua"/>
          <w:b/>
          <w:spacing w:val="-3"/>
          <w:sz w:val="20"/>
        </w:rPr>
        <w:t>na potrzeby</w:t>
      </w:r>
      <w:r w:rsidR="00D1429F" w:rsidRPr="009F5601">
        <w:rPr>
          <w:rFonts w:ascii="Book Antiqua" w:hAnsi="Book Antiqua"/>
          <w:b/>
          <w:spacing w:val="-3"/>
          <w:sz w:val="20"/>
        </w:rPr>
        <w:t xml:space="preserve"> Szkoły Podstawowej im. Adama Mickiewicza w Bożewie</w:t>
      </w:r>
      <w:r w:rsidR="00D1429F" w:rsidRPr="009F5601">
        <w:rPr>
          <w:rFonts w:ascii="Book Antiqua" w:hAnsi="Book Antiqua"/>
          <w:b/>
          <w:sz w:val="20"/>
        </w:rPr>
        <w:t xml:space="preserve"> </w:t>
      </w:r>
      <w:r w:rsidR="00557561" w:rsidRPr="009F5601">
        <w:rPr>
          <w:rFonts w:ascii="Book Antiqua" w:hAnsi="Book Antiqua"/>
          <w:b/>
          <w:sz w:val="20"/>
        </w:rPr>
        <w:t>w roku 202</w:t>
      </w:r>
      <w:r w:rsidR="009F5601">
        <w:rPr>
          <w:rFonts w:ascii="Book Antiqua" w:hAnsi="Book Antiqua"/>
          <w:b/>
          <w:sz w:val="20"/>
        </w:rPr>
        <w:t>1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Pr="009D028D">
        <w:rPr>
          <w:rFonts w:ascii="Book Antiqua" w:hAnsi="Book Antiqua"/>
          <w:sz w:val="20"/>
        </w:rPr>
        <w:t xml:space="preserve"> 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Pr="009D028D">
        <w:rPr>
          <w:rFonts w:ascii="Book Antiqua" w:hAnsi="Book Antiqua"/>
          <w:sz w:val="20"/>
        </w:rPr>
        <w:t xml:space="preserve">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w ilości ok. 3</w:t>
      </w:r>
      <w:r w:rsidR="00557561">
        <w:rPr>
          <w:rFonts w:ascii="Book Antiqua" w:hAnsi="Book Antiqua"/>
          <w:sz w:val="20"/>
        </w:rPr>
        <w:t>0</w:t>
      </w:r>
      <w:r w:rsidRPr="009D028D">
        <w:rPr>
          <w:rFonts w:ascii="Book Antiqua" w:hAnsi="Book Antiqua"/>
          <w:sz w:val="20"/>
        </w:rPr>
        <w:t xml:space="preserve">.000 litrów, zwanego w dalszej części „przedmiotem umowy”. </w:t>
      </w:r>
    </w:p>
    <w:p w:rsidR="00A61A09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ma prawo nie wykorzystać w okresie realizacji umowy pełnej ilości zapotrzebowania na paliwo określonego w pkt. 1. </w:t>
      </w:r>
    </w:p>
    <w:p w:rsidR="00525CD2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przypadku zwiększenia</w:t>
      </w:r>
      <w:r w:rsidR="009F5601">
        <w:rPr>
          <w:rFonts w:ascii="Book Antiqua" w:hAnsi="Book Antiqua"/>
          <w:sz w:val="20"/>
        </w:rPr>
        <w:t>/zmniejszenia</w:t>
      </w:r>
      <w:r w:rsidRPr="009D028D">
        <w:rPr>
          <w:rFonts w:ascii="Book Antiqua" w:hAnsi="Book Antiqua"/>
          <w:sz w:val="20"/>
        </w:rPr>
        <w:t xml:space="preserve"> wielkości dostaw przedmiotu zamówienia do 10 % zamówienia podstawowego, rozliczenie z Wykonawcą następować będzie zgodnie ze złożoną ofertą cenową za 1 litr oleju opałowego, stanowiącą załącznik do niniejszej umowy.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zawiera się na czas określony </w:t>
      </w:r>
      <w:r w:rsidRPr="00C6632C">
        <w:rPr>
          <w:rFonts w:ascii="Book Antiqua" w:hAnsi="Book Antiqua"/>
          <w:b/>
          <w:sz w:val="20"/>
        </w:rPr>
        <w:t>od dnia 01.01.20</w:t>
      </w:r>
      <w:r w:rsidR="00557561" w:rsidRPr="00C6632C">
        <w:rPr>
          <w:rFonts w:ascii="Book Antiqua" w:hAnsi="Book Antiqua"/>
          <w:b/>
          <w:sz w:val="20"/>
        </w:rPr>
        <w:t>2</w:t>
      </w:r>
      <w:r w:rsidR="009F5601">
        <w:rPr>
          <w:rFonts w:ascii="Book Antiqua" w:hAnsi="Book Antiqua"/>
          <w:b/>
          <w:sz w:val="20"/>
        </w:rPr>
        <w:t>1</w:t>
      </w:r>
      <w:r w:rsidRPr="00C6632C">
        <w:rPr>
          <w:rFonts w:ascii="Book Antiqua" w:hAnsi="Book Antiqua"/>
          <w:b/>
          <w:sz w:val="20"/>
        </w:rPr>
        <w:t xml:space="preserve"> r. do dnia 31.12.20</w:t>
      </w:r>
      <w:r w:rsidR="009F5601">
        <w:rPr>
          <w:rFonts w:ascii="Book Antiqua" w:hAnsi="Book Antiqua"/>
          <w:b/>
          <w:sz w:val="20"/>
        </w:rPr>
        <w:t>21</w:t>
      </w:r>
      <w:r w:rsidRPr="00C6632C">
        <w:rPr>
          <w:rFonts w:ascii="Book Antiqua" w:hAnsi="Book Antiqua"/>
          <w:b/>
          <w:sz w:val="20"/>
        </w:rPr>
        <w:t xml:space="preserve"> r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0B0666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telefonicznie lub faksem. </w:t>
      </w:r>
    </w:p>
    <w:p w:rsidR="00525CD2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Termin i wielkość dostawy będą ustalane na bieżąco z 48 godzinnym wyprzedzeniem.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bookmarkStart w:id="0" w:name="_GoBack"/>
      <w:bookmarkEnd w:id="0"/>
      <w:r w:rsidRPr="009D028D">
        <w:rPr>
          <w:rFonts w:ascii="Book Antiqua" w:hAnsi="Book Antiqua"/>
          <w:sz w:val="20"/>
        </w:rPr>
        <w:t>§ 6</w:t>
      </w:r>
    </w:p>
    <w:p w:rsidR="00A61A09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557561" w:rsidRP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A61A09" w:rsidRPr="009D028D" w:rsidRDefault="00525CD2" w:rsidP="00557561">
      <w:pPr>
        <w:pStyle w:val="Akapitzlist"/>
        <w:numPr>
          <w:ilvl w:val="0"/>
          <w:numId w:val="10"/>
        </w:numPr>
        <w:tabs>
          <w:tab w:val="left" w:pos="9781"/>
        </w:tabs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="00AE5EE3" w:rsidRPr="009D028D">
        <w:rPr>
          <w:rFonts w:ascii="Book Antiqua" w:hAnsi="Book Antiqua"/>
          <w:b/>
          <w:sz w:val="20"/>
        </w:rPr>
        <w:t xml:space="preserve"> 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.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Zgodnie z ofertą współczynnik narzutu</w:t>
      </w:r>
      <w:r w:rsidR="00C6632C">
        <w:rPr>
          <w:rFonts w:ascii="Book Antiqua" w:hAnsi="Book Antiqua"/>
          <w:sz w:val="20"/>
        </w:rPr>
        <w:t>/opustu</w:t>
      </w:r>
      <w:r w:rsidRPr="009D028D">
        <w:rPr>
          <w:rFonts w:ascii="Book Antiqua" w:hAnsi="Book Antiqua"/>
          <w:sz w:val="20"/>
        </w:rPr>
        <w:t xml:space="preserve"> Wykonawcy w wysokości </w:t>
      </w:r>
      <w:r w:rsidR="00446831">
        <w:rPr>
          <w:rFonts w:ascii="Book Antiqua" w:hAnsi="Book Antiqua"/>
          <w:sz w:val="20"/>
        </w:rPr>
        <w:t>(……..</w:t>
      </w:r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</w:t>
      </w:r>
      <w:r w:rsidR="00C6632C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okresie trwania umowy.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Rozliczenie będzie się</w:t>
      </w:r>
      <w:r w:rsidR="006045E9">
        <w:rPr>
          <w:rFonts w:ascii="Book Antiqua" w:hAnsi="Book Antiqua"/>
          <w:sz w:val="20"/>
        </w:rPr>
        <w:t xml:space="preserve"> odbywało fakturami częściowymi</w:t>
      </w:r>
      <w:r w:rsidRPr="009D028D">
        <w:rPr>
          <w:rFonts w:ascii="Book Antiqua" w:hAnsi="Book Antiqua"/>
          <w:sz w:val="20"/>
        </w:rPr>
        <w:t xml:space="preserve">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postanawiają, iż zmiany ceny uwzględniające postanowienia ust.</w:t>
      </w:r>
      <w:r w:rsidR="00974B49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3 niniejszego paragrafu nie wymagają formy pisemnej. 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Default="00A36D6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557561" w:rsidRPr="009D028D" w:rsidRDefault="00557561" w:rsidP="00557561">
      <w:pPr>
        <w:pStyle w:val="Akapitzlist"/>
        <w:spacing w:after="0"/>
        <w:ind w:left="360"/>
        <w:jc w:val="both"/>
        <w:rPr>
          <w:rFonts w:ascii="Book Antiqua" w:hAnsi="Book Antiqua"/>
          <w:sz w:val="20"/>
        </w:rPr>
      </w:pP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celu poddania ich badaniom w niezależnym laboratorium badawczym.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1B57E5" w:rsidRPr="009D028D">
        <w:rPr>
          <w:rFonts w:ascii="Book Antiqua" w:hAnsi="Book Antiqua"/>
          <w:sz w:val="20"/>
        </w:rPr>
        <w:t xml:space="preserve"> </w:t>
      </w:r>
      <w:r w:rsidR="00BD1A61" w:rsidRPr="009D028D">
        <w:rPr>
          <w:rFonts w:ascii="Book Antiqua" w:hAnsi="Book Antiqua"/>
          <w:sz w:val="20"/>
        </w:rPr>
        <w:t>6 ust. 6</w:t>
      </w:r>
      <w:r w:rsidRPr="009D028D">
        <w:rPr>
          <w:rFonts w:ascii="Book Antiqua" w:hAnsi="Book Antiqua"/>
          <w:sz w:val="20"/>
        </w:rPr>
        <w:t xml:space="preserve"> </w:t>
      </w:r>
      <w:r w:rsidR="001F4F25">
        <w:rPr>
          <w:rFonts w:ascii="Book Antiqua" w:hAnsi="Book Antiqua"/>
          <w:sz w:val="20"/>
        </w:rPr>
        <w:t>u</w:t>
      </w:r>
      <w:r w:rsidRPr="009D028D">
        <w:rPr>
          <w:rFonts w:ascii="Book Antiqua" w:hAnsi="Book Antiqua"/>
          <w:sz w:val="20"/>
        </w:rPr>
        <w:t xml:space="preserve">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1B57E5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odstąpienie od umowy przez Zamawiającego z przyczyn, za które odpowiedzialność ponosi Wykonawca – w wysokości 20 % szacunkowej łącznej wartości umowy, o którym mowa w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>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zwłokę w dostawie poszczególnych partii oleju – w wysokości 10 % wartości dostawy tej partii wyliczonego zgodnie z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6 ust. 3 niniejszej umowy za każdy dzień zwłoki.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Zamawiającemu przysługuje prawo do odstąpienie od umowy w trybie natychmiastowym w sytuacji, gdy: 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557561">
      <w:pPr>
        <w:pStyle w:val="Akapitzlist"/>
        <w:spacing w:after="0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3.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w przypadku urzędowej zmiany wysokości stawki podatku VAT. 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gdy zaistnieją okoliczności niezależne od Wykonawcy, któr</w:t>
      </w:r>
      <w:r w:rsidR="00557561">
        <w:rPr>
          <w:rFonts w:ascii="Book Antiqua" w:hAnsi="Book Antiqua"/>
          <w:sz w:val="20"/>
        </w:rPr>
        <w:t xml:space="preserve">ych nie można było przewidzieć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Pr="009D028D" w:rsidRDefault="00844BE6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11</w:t>
      </w:r>
    </w:p>
    <w:p w:rsidR="00E86029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557561" w:rsidRPr="009D028D" w:rsidRDefault="00557561" w:rsidP="00557561">
      <w:pPr>
        <w:pStyle w:val="Akapitzlist"/>
        <w:spacing w:after="0"/>
        <w:ind w:left="360"/>
        <w:jc w:val="both"/>
        <w:rPr>
          <w:rFonts w:ascii="Book Antiqua" w:hAnsi="Book Antiqua"/>
          <w:sz w:val="20"/>
        </w:rPr>
      </w:pP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Pr="00866237" w:rsidRDefault="00866237" w:rsidP="00557561">
      <w:pPr>
        <w:spacing w:after="0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 xml:space="preserve">ZAMAWIAJĄCY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</w:t>
      </w:r>
      <w:r w:rsidRPr="00866237">
        <w:rPr>
          <w:rFonts w:ascii="Book Antiqua" w:hAnsi="Book Antiqua"/>
          <w:b/>
          <w:sz w:val="20"/>
        </w:rPr>
        <w:t>WYKONAWCA</w:t>
      </w:r>
    </w:p>
    <w:sectPr w:rsidR="00CF599F" w:rsidRPr="00866237" w:rsidSect="0055756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B0666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462F8"/>
    <w:rsid w:val="001469FA"/>
    <w:rsid w:val="0015364A"/>
    <w:rsid w:val="00166354"/>
    <w:rsid w:val="00166DB0"/>
    <w:rsid w:val="001809FE"/>
    <w:rsid w:val="001953AB"/>
    <w:rsid w:val="00195469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4F25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C4FAA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43382"/>
    <w:rsid w:val="00557561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5E9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9F560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D5C27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6632C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26FC-231B-44FB-BAC4-3701EA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F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F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e.kopycinska</cp:lastModifiedBy>
  <cp:revision>24</cp:revision>
  <cp:lastPrinted>2017-11-20T08:05:00Z</cp:lastPrinted>
  <dcterms:created xsi:type="dcterms:W3CDTF">2014-10-26T15:58:00Z</dcterms:created>
  <dcterms:modified xsi:type="dcterms:W3CDTF">2020-11-25T13:09:00Z</dcterms:modified>
</cp:coreProperties>
</file>